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2018年度新疆喀什地区英吉沙县残疾人联合会部门决算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指标1：接受农村实用技术培训残疾人掌握的生产技能数量应用比例100。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新疆喀什地区英吉沙县残疾人联合会</w:t>
      </w:r>
      <w:r>
        <w:rPr>
          <w:rFonts w:hint="eastAsia" w:ascii="仿宋_GB2312" w:eastAsia="仿宋_GB2312"/>
          <w:sz w:val="32"/>
          <w:szCs w:val="32"/>
        </w:rPr>
        <w:t>部门决算包括：</w:t>
      </w:r>
      <w:r>
        <w:rPr>
          <w:rFonts w:ascii="仿宋_GB2312" w:eastAsia="仿宋_GB2312"/>
          <w:sz w:val="32"/>
          <w:szCs w:val="32"/>
        </w:rPr>
        <w:t>新疆喀什地区英吉沙县残疾人联合会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新疆喀什地区英吉沙县残疾人联合会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jc w:val="left"/>
              <w:textAlignment w:val="auto"/>
            </w:pPr>
            <w:r>
              <w:rPr>
                <w:rFonts w:ascii="仿宋_GB2312" w:eastAsia="仿宋_GB2312"/>
                <w:sz w:val="32"/>
                <w:szCs w:val="32"/>
              </w:rPr>
              <w:t>英吉沙县残疾人联合会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eastAsia="仿宋_GB2312"/>
          <w:color w:val="000000" w:themeColor="text1"/>
          <w:sz w:val="32"/>
          <w:szCs w:val="32"/>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67.69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，与上年相比，减少31.8万元，降低31.96%，减少的主要原因是：</w:t>
      </w:r>
      <w:r>
        <w:rPr>
          <w:rFonts w:hint="eastAsia" w:ascii="仿宋_GB2312" w:eastAsia="仿宋_GB2312"/>
          <w:color w:val="000000" w:themeColor="text1"/>
          <w:sz w:val="32"/>
          <w:szCs w:val="32"/>
        </w:rPr>
        <w:t>在职在编减少，上级拨付专项资金任务数及补助资金减少；</w:t>
      </w:r>
      <w:bookmarkEnd w:id="6"/>
      <w:bookmarkStart w:id="88" w:name="_GoBack"/>
      <w:bookmarkEnd w:id="88"/>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67.69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，与上年相比，减少56.13万元，降低45.33%，减少的主要原因是：</w:t>
      </w:r>
      <w:r>
        <w:rPr>
          <w:rFonts w:hint="eastAsia" w:ascii="仿宋_GB2312" w:eastAsia="仿宋_GB2312"/>
          <w:color w:val="000000" w:themeColor="text1"/>
          <w:sz w:val="32"/>
          <w:szCs w:val="32"/>
        </w:rPr>
        <w:t>在职在编减少，上级拨付专项资金任务数及补助资金减少；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0万元</w:t>
      </w:r>
      <w:r>
        <w:rPr>
          <w:rFonts w:hint="eastAsia" w:ascii="仿宋_GB2312" w:eastAsia="仿宋_GB2312"/>
          <w:sz w:val="32"/>
          <w:szCs w:val="32"/>
        </w:rPr>
        <w:t>，降低</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ascii="仿宋_GB2312" w:eastAsia="仿宋_GB2312"/>
          <w:color w:val="000000" w:themeColor="text1"/>
          <w:sz w:val="32"/>
          <w:szCs w:val="32"/>
        </w:rPr>
        <w:t>本单位资金使用到位，年末无结余。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67.69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67.69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况：本年收入年初预算数40.67万元</w:t>
      </w:r>
      <w:r>
        <w:rPr>
          <w:rFonts w:hint="eastAsia" w:ascii="仿宋_GB2312" w:eastAsia="仿宋_GB2312"/>
          <w:sz w:val="32"/>
          <w:szCs w:val="32"/>
        </w:rPr>
        <w:t>，决算数67.69万元</w:t>
      </w:r>
      <w:r>
        <w:rPr>
          <w:rFonts w:ascii="仿宋_GB2312" w:eastAsia="仿宋_GB2312"/>
          <w:sz w:val="32"/>
          <w:szCs w:val="32"/>
        </w:rPr>
        <w:t>，预决算差异率66.44%，差异主要原因是我单位职工工资福利收入有了显著增加。且我单位进一步深化工作，扩展服务范围。使得我单位在工作过程中开展了更广更深层次的服务，一系列的措施使得我单位收入相比年初预算有了较大提升。</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67.69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35.74</w:t>
      </w:r>
      <w:r>
        <w:rPr>
          <w:rFonts w:hint="eastAsia" w:ascii="仿宋_GB2312" w:eastAsia="仿宋_GB2312"/>
          <w:color w:val="000000" w:themeColor="text1"/>
          <w:sz w:val="32"/>
          <w:szCs w:val="32"/>
        </w:rPr>
        <w:t>万元，占</w:t>
      </w:r>
      <w:r>
        <w:rPr>
          <w:rFonts w:hint="eastAsia" w:ascii="仿宋_GB2312" w:eastAsia="仿宋_GB2312"/>
          <w:sz w:val="32"/>
          <w:szCs w:val="32"/>
        </w:rPr>
        <w:t>52.8%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31.95</w:t>
      </w:r>
      <w:r>
        <w:rPr>
          <w:rFonts w:hint="eastAsia" w:ascii="仿宋_GB2312" w:eastAsia="仿宋_GB2312"/>
          <w:color w:val="000000" w:themeColor="text1"/>
          <w:sz w:val="32"/>
          <w:szCs w:val="32"/>
        </w:rPr>
        <w:t>万元，占</w:t>
      </w:r>
      <w:r>
        <w:rPr>
          <w:rFonts w:hint="eastAsia" w:ascii="仿宋_GB2312" w:eastAsia="仿宋_GB2312"/>
          <w:sz w:val="32"/>
          <w:szCs w:val="32"/>
        </w:rPr>
        <w:t>47.2%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与年初预算数相比情况：本年支出年初预算数40.67万元，</w:t>
      </w:r>
      <w:r>
        <w:rPr>
          <w:rFonts w:hint="eastAsia" w:ascii="仿宋_GB2312" w:eastAsia="仿宋_GB2312"/>
          <w:sz w:val="32"/>
          <w:szCs w:val="32"/>
        </w:rPr>
        <w:t>决算数67.69万元</w:t>
      </w:r>
      <w:r>
        <w:rPr>
          <w:rFonts w:ascii="仿宋_GB2312" w:eastAsia="仿宋_GB2312"/>
          <w:sz w:val="32"/>
          <w:szCs w:val="32"/>
        </w:rPr>
        <w:t>，预决算差异率66.44%，差异主要原因是在预算编算过程中确存有计算不够准确的问题，且在项目具体执行过程中以及我单位职工工资待遇的实际情况与年初预算时情况有变化，这一系列因素导致我单位年初预算数与决算数有差异。</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67.69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，与上年相比，减少31.8万元，</w:t>
      </w:r>
      <w:r>
        <w:rPr>
          <w:rFonts w:hint="eastAsia" w:ascii="仿宋_GB2312" w:eastAsia="仿宋_GB2312"/>
          <w:sz w:val="32"/>
          <w:szCs w:val="32"/>
          <w:lang w:val="en-US" w:eastAsia="zh-CN"/>
        </w:rPr>
        <w:t xml:space="preserve"> 降低</w:t>
      </w:r>
      <w:r>
        <w:rPr>
          <w:rFonts w:hint="eastAsia" w:ascii="仿宋_GB2312" w:eastAsia="仿宋_GB2312"/>
          <w:sz w:val="32"/>
          <w:szCs w:val="32"/>
        </w:rPr>
        <w:t>31.96%，减少的主要原因是：上级拨付专项资金减少。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67.69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，与上年相比，减少56.13万元，下降45.33%，减少的主要原因是：</w:t>
      </w:r>
      <w:r>
        <w:rPr>
          <w:rFonts w:ascii="仿宋_GB2312" w:eastAsia="仿宋_GB2312"/>
          <w:sz w:val="32"/>
          <w:szCs w:val="32"/>
        </w:rPr>
        <w:t>上级拨付专项资金减少。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35.74</w:t>
      </w:r>
      <w:r>
        <w:rPr>
          <w:rFonts w:hint="eastAsia" w:ascii="仿宋_GB2312" w:eastAsia="仿宋_GB2312"/>
          <w:color w:val="000000" w:themeColor="text1"/>
          <w:sz w:val="32"/>
          <w:szCs w:val="32"/>
        </w:rPr>
        <w:t>万元，项目支出</w:t>
      </w:r>
      <w:r>
        <w:rPr>
          <w:rFonts w:hint="eastAsia" w:ascii="仿宋_GB2312" w:eastAsia="仿宋_GB2312"/>
          <w:sz w:val="32"/>
          <w:szCs w:val="32"/>
        </w:rPr>
        <w:t>31.95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%，主要原因是：本单位资金使用到位，年末无结余。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40.67</w:t>
      </w:r>
      <w:r>
        <w:rPr>
          <w:rFonts w:hint="eastAsia" w:ascii="仿宋_GB2312" w:eastAsia="仿宋_GB2312"/>
          <w:color w:val="000000" w:themeColor="text1"/>
          <w:sz w:val="32"/>
          <w:szCs w:val="32"/>
        </w:rPr>
        <w:t>万元，决算数</w:t>
      </w:r>
      <w:r>
        <w:rPr>
          <w:rFonts w:hint="eastAsia" w:ascii="仿宋_GB2312" w:eastAsia="仿宋_GB2312"/>
          <w:sz w:val="32"/>
          <w:szCs w:val="32"/>
        </w:rPr>
        <w:t>67.69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66.44%，差异主要原因是我单位职工工资福利收入有了显著增加。且我单位进一步深化工作，扩展服务范围。使得我单位在工作过程中开展了更广更深层次的服务，一系列的措施使得我单位收入相比年初预算有了较大提升。</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40.67</w:t>
      </w:r>
      <w:r>
        <w:rPr>
          <w:rFonts w:hint="eastAsia" w:ascii="仿宋_GB2312" w:eastAsia="仿宋_GB2312"/>
          <w:color w:val="000000" w:themeColor="text1"/>
          <w:sz w:val="32"/>
          <w:szCs w:val="32"/>
        </w:rPr>
        <w:t>万元，决算数</w:t>
      </w:r>
      <w:r>
        <w:rPr>
          <w:rFonts w:hint="eastAsia" w:ascii="仿宋_GB2312" w:eastAsia="仿宋_GB2312"/>
          <w:sz w:val="32"/>
          <w:szCs w:val="32"/>
        </w:rPr>
        <w:t>67.69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66.44%，差异主要原因是在预算编算过程中确存有计算不够准确的问题，且在项目具体执行过程中以及我单位职工工资待遇的实际情况与年初预算时情况有变化，这一系列因素导致我单位年初预算数与决算数有差异。</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64.64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，与上年相比，减少29.15万元，下降31.08%，减少的主要原因是：上级拨付专项资金减少。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64.64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，与上年相比，减少53.48万元，下降45.28%，减少的主要原因是：上级拨付专项资金减少。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住房保障支出2.27万元,社会保障和就业支出62.37万元。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工资福利支出26.09万元,对个人和家庭的补助32.46万元。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40.67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64.64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58.94%，差异主要原因是我单位职工工资福利收入有了显著增加。且我单位进一步深化工作，扩展服务范围。使得我单位在工作过程中开展了更广更深层次的服务，一系列的措施使得我单位收入相比年初预算有了较大提升。</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40.67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64.64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58.94%，差异主要原因是在预算编算过程中确存有计算不够准确的问题，且在项目具体执行过程中以及我单位职工工资待遇的实际情况与年初预算时情况有变化，这一系列因素导致我单位年初预算数与决算数有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3.05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，与上年相比，减少2.65万元，降低46.49%，减少的主要原因是：上级拨付专项资金减少。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3.05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，与上年相比，减少2.65万元，降低46.49%，减少的主要原因是：上级拨付专项资金减少。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，其他支出3.05万元。按经济分类科目（按类级科目公开），商品和服务支出3.05万元。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3.05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，预决算差异率100%，差异主要原因是上级拨付专项资金增加。</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3.05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w:t>
      </w:r>
      <w:r>
        <w:rPr>
          <w:rFonts w:hint="eastAsia" w:ascii="仿宋_GB2312" w:eastAsia="仿宋_GB2312"/>
          <w:color w:val="000000" w:themeColor="text1"/>
          <w:sz w:val="32"/>
          <w:szCs w:val="32"/>
          <w:lang w:val="en-US" w:eastAsia="zh-CN"/>
        </w:rPr>
        <w:t xml:space="preserve"> </w:t>
      </w:r>
      <w:r>
        <w:rPr>
          <w:rFonts w:hint="eastAsia" w:ascii="仿宋_GB2312" w:eastAsia="仿宋_GB2312"/>
          <w:sz w:val="32"/>
          <w:szCs w:val="32"/>
        </w:rPr>
        <w:t>预</w:t>
      </w:r>
      <w:r>
        <w:rPr>
          <w:rFonts w:hint="eastAsia" w:ascii="仿宋_GB2312" w:eastAsia="仿宋_GB2312"/>
          <w:color w:val="000000" w:themeColor="text1"/>
          <w:sz w:val="32"/>
          <w:szCs w:val="32"/>
          <w:lang w:val="en-US" w:eastAsia="zh-CN"/>
        </w:rPr>
        <w:t>决算</w:t>
      </w:r>
      <w:r>
        <w:rPr>
          <w:rFonts w:ascii="仿宋_GB2312" w:eastAsia="仿宋_GB2312"/>
          <w:color w:val="000000" w:themeColor="text1"/>
          <w:sz w:val="32"/>
          <w:szCs w:val="32"/>
        </w:rPr>
        <w:t>差异主要原因是上级拨付专项资金增加。</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其中财政拨款结转结余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hint="eastAsia" w:ascii="仿宋_GB2312" w:eastAsia="仿宋_GB2312"/>
          <w:sz w:val="32"/>
          <w:szCs w:val="32"/>
          <w:lang w:val="en-US" w:eastAsia="zh-CN"/>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0万元</w:t>
      </w:r>
      <w:r>
        <w:rPr>
          <w:rFonts w:hint="eastAsia" w:ascii="仿宋_GB2312" w:eastAsia="仿宋_GB2312"/>
          <w:sz w:val="32"/>
          <w:szCs w:val="32"/>
        </w:rPr>
        <w:t>，增长</w:t>
      </w:r>
      <w:r>
        <w:rPr>
          <w:rFonts w:hint="eastAsia" w:ascii="仿宋_GB2312" w:eastAsia="仿宋_GB2312"/>
          <w:sz w:val="32"/>
          <w:szCs w:val="32"/>
          <w:lang w:val="en-US" w:eastAsia="zh-CN"/>
        </w:rPr>
        <w:t>0%，</w:t>
      </w:r>
      <w:r>
        <w:rPr>
          <w:rFonts w:hint="eastAsia" w:ascii="仿宋_GB2312" w:eastAsia="仿宋_GB2312"/>
          <w:sz w:val="32"/>
          <w:szCs w:val="32"/>
        </w:rPr>
        <w:t>增加主要原因是：本年度本单位预算未做安排。</w:t>
      </w:r>
      <w:bookmarkEnd w:id="52"/>
      <w:bookmarkStart w:id="54" w:name="OLE_LINK75"/>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0万元</w:t>
      </w:r>
      <w:r>
        <w:rPr>
          <w:rFonts w:hint="eastAsia" w:ascii="仿宋_GB2312" w:eastAsia="仿宋_GB2312"/>
          <w:sz w:val="32"/>
          <w:szCs w:val="32"/>
        </w:rPr>
        <w:t>，增长</w:t>
      </w:r>
      <w:r>
        <w:rPr>
          <w:rFonts w:hint="eastAsia" w:ascii="仿宋_GB2312" w:eastAsia="仿宋_GB2312"/>
          <w:sz w:val="32"/>
          <w:szCs w:val="32"/>
          <w:lang w:val="en-US" w:eastAsia="zh-CN"/>
        </w:rPr>
        <w:t>0%，</w:t>
      </w:r>
      <w:r>
        <w:rPr>
          <w:rFonts w:hint="eastAsia" w:ascii="仿宋_GB2312" w:eastAsia="仿宋_GB2312"/>
          <w:sz w:val="32"/>
          <w:szCs w:val="32"/>
        </w:rPr>
        <w:t>增加主要原因是：本年度本单位预算未做安排；</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0万元</w:t>
      </w:r>
      <w:r>
        <w:rPr>
          <w:rFonts w:hint="eastAsia" w:ascii="仿宋_GB2312" w:eastAsia="仿宋_GB2312"/>
          <w:sz w:val="32"/>
          <w:szCs w:val="32"/>
        </w:rPr>
        <w:t>，增长</w:t>
      </w:r>
      <w:r>
        <w:rPr>
          <w:rFonts w:hint="eastAsia" w:ascii="仿宋_GB2312" w:eastAsia="仿宋_GB2312"/>
          <w:sz w:val="32"/>
          <w:szCs w:val="32"/>
          <w:lang w:val="en-US" w:eastAsia="zh-CN"/>
        </w:rPr>
        <w:t>0%，</w:t>
      </w:r>
      <w:r>
        <w:rPr>
          <w:rFonts w:hint="eastAsia" w:ascii="仿宋_GB2312" w:eastAsia="仿宋_GB2312"/>
          <w:sz w:val="32"/>
          <w:szCs w:val="32"/>
        </w:rPr>
        <w:t>增加主要原因是：本年度本单位预算未做安排；</w:t>
      </w:r>
      <w:bookmarkEnd w:id="57"/>
      <w:bookmarkStart w:id="58" w:name="OLE_LINK32"/>
      <w:bookmarkStart w:id="59" w:name="OLE_LINK77"/>
      <w:bookmarkStart w:id="60" w:name="OLE_LINK78"/>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0万元</w:t>
      </w:r>
      <w:r>
        <w:rPr>
          <w:rFonts w:hint="eastAsia" w:ascii="仿宋_GB2312" w:eastAsia="仿宋_GB2312"/>
          <w:sz w:val="32"/>
          <w:szCs w:val="32"/>
        </w:rPr>
        <w:t>，增长</w:t>
      </w:r>
      <w:r>
        <w:rPr>
          <w:rFonts w:hint="eastAsia" w:ascii="仿宋_GB2312" w:eastAsia="仿宋_GB2312"/>
          <w:sz w:val="32"/>
          <w:szCs w:val="32"/>
          <w:lang w:val="en-US" w:eastAsia="zh-CN"/>
        </w:rPr>
        <w:t>0%，</w:t>
      </w:r>
      <w:r>
        <w:rPr>
          <w:rFonts w:hint="eastAsia" w:ascii="仿宋_GB2312" w:eastAsia="仿宋_GB2312"/>
          <w:sz w:val="32"/>
          <w:szCs w:val="32"/>
        </w:rPr>
        <w:t>增加主要原因是：本年度本单位预算未做安排。</w:t>
      </w:r>
      <w:bookmarkEnd w:id="59"/>
      <w:bookmarkEnd w:id="60"/>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80"/>
      <w:bookmarkStart w:id="62"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新疆喀什地区英吉沙县残疾人联合会</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本年度本单位预算未做安排。</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本年度本单位预算未做安排。</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本年度本单位预算未做安排。</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新疆喀什地区英吉沙县残疾人联合会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eastAsia="仿宋_GB2312"/>
          <w:color w:val="000000" w:themeColor="text1"/>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，预决算差异率0%，差异主要原因是本年度本单位预算未做安排。</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，预决算差异率0%，差异主要原因是本年度本单位预算未做安排；</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，预决算差异率0%，差异主要原因是本年度本单位预算未做安排；</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，预决算差异率0%，差异主要原因是本年度本单位预算未做安排；</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本年度本单位预算未做安排。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2018年度新疆喀什地区英吉沙县残疾人联合会机关运行经费支出1.85万元，与上年相比，减少0.52万元，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21.94%，减少的主要原因是：压缩公用经费，精简开支。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残疾人联合会2018年度部门预算总额为31.95万元，执行金额为31.95万元，预算执行率为100%。本次自评共涉及项目数4个，其中已完成项目4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2018年残疾人事业的彩票公益金支出项目绩效自评综述：根据年初设定的绩效目标，该项目绩效自评得分为93分。项目全年预算数为3.05万元，执行数为3.05万元，完成预算的100%。主要产出和效果：1、产出指标完成情况分析：
（1）、项目完成数量效益：
指标1：贫困智力精神残疾人和重度残疾人评定补贴发放对象认定准确率100%；
指标2： 通过家庭无障碍改造，改善残疾人居家环境率100%；
2、效益指标情况分析：
（1）、通过家庭无障碍改造，改善残疾人居家环境所提高；
（2）贫困智力精神残疾人和重度残疾人评定开支；
3、满意度指标情况分析：
（1）、享受评定补贴的贫困智力精神残疾人和重度残疾人和家属满意度80%；
（2）残疾人亲友对无障碍改造满意度80%。发现的问题及原因：无。下一步改进措施： 提高残疾人生活水平和触入社会能力。为残疾人做更好的服务。</w:t>
      </w:r>
    </w:p>
    <w:p>
      <w:pPr>
        <w:spacing w:line="540" w:lineRule="exact"/>
        <w:ind w:left="-1" w:right="-1" w:firstLine="646"/>
        <w:jc w:val="left"/>
      </w:pPr>
      <w:r>
        <w:rPr>
          <w:rFonts w:ascii="仿宋_GB2312" w:hAnsi="仿宋_GB2312" w:eastAsia="仿宋_GB2312" w:cs="仿宋_GB2312"/>
          <w:b w:val="0"/>
          <w:color w:val="000000"/>
          <w:sz w:val="32"/>
          <w:u w:val="none"/>
        </w:rPr>
        <w:t>2、2018年残疾人康复项目绩效自评综述：根据年初设定的绩效目标，该项目绩效自评得分为93分。项目全年预算数为14.26万元，执行数为14.26万元，完成预算的100%。主要产出和效果：1、产出指标完成情况分析：
（1）、项目完成数量效益
指标1：白内障患者复明手术补助完成率100%；
指标2：残疾人基本康复服务率 100%；
2、效益指标情况分析：
（1）、提高接受康复服务残疾人生活水平；
3、满意度指标情况分析：
（1）、残疾人及残疾人家属得到满意。发现的问题及原因：无。下一步改进措施： 提高残疾人生活水平和触入社会能力，为残疾人做更好的服务。</w:t>
      </w:r>
    </w:p>
    <w:p>
      <w:pPr>
        <w:spacing w:line="540" w:lineRule="exact"/>
        <w:ind w:left="-1" w:right="-1" w:firstLine="646"/>
        <w:jc w:val="left"/>
      </w:pPr>
      <w:r>
        <w:rPr>
          <w:rFonts w:ascii="仿宋_GB2312" w:hAnsi="仿宋_GB2312" w:eastAsia="仿宋_GB2312" w:cs="仿宋_GB2312"/>
          <w:b w:val="0"/>
          <w:color w:val="000000"/>
          <w:sz w:val="32"/>
          <w:u w:val="none"/>
        </w:rPr>
        <w:t>3、2018年残疾人就业和扶贫资金项目绩效自评综述：根据年初设定的绩效目标，该项目绩效自评得分为92分。项目全年预算数为4.24万元，执行数为4.24万元，完成预算的100%。主要产出和效果：（1）、项目完成数量效益
指标1：接受农村实用技术培训残疾人掌握的生产技能数量应用比例100%；
指标2：动态更新工作完成率100%；发现的问题及原因：无。下一步改进措施： 残疾人就业和扶贫支出资金的使用按照政策标准，专款专用，做到政务公开，执行“阳光操作”，保证各项工作公开透明。</w:t>
      </w:r>
    </w:p>
    <w:p>
      <w:pPr>
        <w:spacing w:line="540" w:lineRule="exact"/>
        <w:ind w:left="-1" w:right="-1" w:firstLine="646"/>
        <w:jc w:val="left"/>
      </w:pPr>
      <w:r>
        <w:rPr>
          <w:rFonts w:ascii="仿宋_GB2312" w:hAnsi="仿宋_GB2312" w:eastAsia="仿宋_GB2312" w:cs="仿宋_GB2312"/>
          <w:b w:val="0"/>
          <w:color w:val="000000"/>
          <w:sz w:val="32"/>
          <w:u w:val="none"/>
        </w:rPr>
        <w:t>4、2018年度其他残疾人事业支出项目绩效自评综述：根据年初设定的绩效目标，该项目绩效自评得分为92分。项目全年预算数为10.4万元，执行数为10.4万元，完成预算的100%。主要产出和效果：1、产出指标完成情况分析：
（1）、项目完成数量效益
指标1：燃油补贴对象识别精准率 100%；
2、效益指标情况分析：
（1）、提高接受康复服务残疾人生活水平；
（2）降低享受燃油补贴补助的残疾人出行支出；
3、满意度指标情况分析：
（1）、接受燃油补贴残疾人满意度。发现的问题及原因：无。下一步改进措施： 提高残疾人生活水平和触入社会能力，为残疾人做更好的服务。</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208（类）11（款）04（项）指：残疾人康复。208（类）11（款）05（项）指：残疾人就业和扶贫。208（类）11（款）99（项）指：其他残疾人事业支出。221（类）02（款）01（项）指：住房公积金。208（类）11（款）01（项）指：行政运行。208（类）05（款）05（项）指：机关事业单位基本养老保险缴费支出。229（类）60（款）06（项）指：用于残疾人事业的彩票公益金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英吉沙县残疾人联合会</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9B16A02"/>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83232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A310E8"/>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0D14AD8"/>
    <w:rsid w:val="61460FBE"/>
    <w:rsid w:val="62775810"/>
    <w:rsid w:val="62D83744"/>
    <w:rsid w:val="630F4048"/>
    <w:rsid w:val="63AA02E5"/>
    <w:rsid w:val="64700DE9"/>
    <w:rsid w:val="65C613BD"/>
    <w:rsid w:val="65FD118C"/>
    <w:rsid w:val="67804F9D"/>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2021-06-04T06:00:21Z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